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C8F" w:rsidRPr="009173C3" w:rsidRDefault="009B3C8F" w:rsidP="009B3C8F">
      <w:pPr>
        <w:pStyle w:val="Sansinterligne"/>
        <w:jc w:val="both"/>
        <w:rPr>
          <w:b/>
        </w:rPr>
      </w:pPr>
      <w:r>
        <w:rPr>
          <w:b/>
        </w:rPr>
        <w:t>Recevoir Vatican II : Déclaration sur la liberté religieuse (I)</w:t>
      </w:r>
    </w:p>
    <w:p w:rsidR="009B3C8F" w:rsidRDefault="009B3C8F" w:rsidP="009B3C8F">
      <w:pPr>
        <w:pStyle w:val="Sansinterligne"/>
        <w:jc w:val="both"/>
      </w:pPr>
    </w:p>
    <w:p w:rsidR="009B3C8F" w:rsidRDefault="009B3C8F" w:rsidP="009B3C8F">
      <w:pPr>
        <w:pStyle w:val="Sansinterligne"/>
        <w:jc w:val="both"/>
      </w:pPr>
      <w:r>
        <w:t>La déclaration sur la liberté religieuse à Vatican II est une des plus complexes à comprendre, car elle s’inscrit dans un environnement social et politique qui évolue sans cesse. De plus, nous interprétons souvent cette déclaration dans un contexte européen continental, très différent de la manière anglo-saxonne de situer la mission de l’Etat. Que dire lorsque nous cherchons à expliciter la liberté religieuse dans le monde musulman et le monde asiatique ?</w:t>
      </w:r>
    </w:p>
    <w:p w:rsidR="009B3C8F" w:rsidRDefault="009B3C8F" w:rsidP="009B3C8F">
      <w:pPr>
        <w:pStyle w:val="Sansinterligne"/>
        <w:jc w:val="both"/>
      </w:pPr>
    </w:p>
    <w:p w:rsidR="009B3C8F" w:rsidRDefault="009B3C8F" w:rsidP="009B3C8F">
      <w:pPr>
        <w:pStyle w:val="Sansinterligne"/>
        <w:jc w:val="both"/>
      </w:pPr>
      <w:r>
        <w:t>Pour entrer progressivement dans la déclaration, je ne peux que faire appel à quelques étapes historiques qui sont encore régulièrement mises en avant dans les médias.</w:t>
      </w:r>
    </w:p>
    <w:p w:rsidR="009B3C8F" w:rsidRDefault="009B3C8F" w:rsidP="009B3C8F">
      <w:pPr>
        <w:pStyle w:val="Sansinterligne"/>
        <w:jc w:val="both"/>
      </w:pPr>
    </w:p>
    <w:p w:rsidR="009B3C8F" w:rsidRDefault="009B3C8F" w:rsidP="009B3C8F">
      <w:pPr>
        <w:pStyle w:val="Sansinterligne"/>
        <w:jc w:val="both"/>
      </w:pPr>
      <w:r>
        <w:rPr>
          <w:b/>
        </w:rPr>
        <w:t xml:space="preserve">Révolution française </w:t>
      </w:r>
    </w:p>
    <w:p w:rsidR="009B3C8F" w:rsidRPr="00BF0CF5" w:rsidRDefault="009B3C8F" w:rsidP="009B3C8F">
      <w:pPr>
        <w:pStyle w:val="Sansinterligne"/>
        <w:jc w:val="both"/>
      </w:pPr>
    </w:p>
    <w:p w:rsidR="009B3C8F" w:rsidRDefault="009B3C8F" w:rsidP="009B3C8F">
      <w:pPr>
        <w:pStyle w:val="Sansinterligne"/>
        <w:jc w:val="both"/>
      </w:pPr>
      <w:r>
        <w:t>En Europe occidentale, le fondement des débats sur la place des chrétiens dans le monde contemporain est l’attitude consciente ou inconsciente vis-à-vis de la révolution française (1789), dont les effets sont visibles dans une grande partie de l’Europe continentale en raison des guerres de Napoléon Ier, défait à Waterloo en 1815. Les spécialistes parlent des relations entre l’Eglise et l’Etat, dans une société démocratique de type libéral.</w:t>
      </w:r>
    </w:p>
    <w:p w:rsidR="009B3C8F" w:rsidRDefault="009B3C8F" w:rsidP="009B3C8F">
      <w:pPr>
        <w:pStyle w:val="Sansinterligne"/>
        <w:jc w:val="both"/>
      </w:pPr>
    </w:p>
    <w:p w:rsidR="009B3C8F" w:rsidRDefault="009B3C8F" w:rsidP="009B3C8F">
      <w:pPr>
        <w:pStyle w:val="Sansinterligne"/>
        <w:jc w:val="both"/>
      </w:pPr>
      <w:r>
        <w:t xml:space="preserve">Après la chute de l’Ancien Régime en France, en 1789, l’Assemblée Nationale veut refaire l’Eglise selon des normes inspirées de la religion civile, telle que les philosophes du XVIIIème siècle l’avaient imaginée. La Pape Pie VI (1775-1799) et les évêques français craignent une dérive totalitaire. Ils refusent qu’une Assemblée Nationale impose aux ecclésiastiques de prêter le serment constitutionnel (1791). Finalement le Pape Pie VII (1800-1823) conclut, en 1801, un concordat avec le premier consul Napoléon Bonaparte, qui réorganise le catholicisme en France. </w:t>
      </w:r>
    </w:p>
    <w:p w:rsidR="009B3C8F" w:rsidRDefault="009B3C8F" w:rsidP="009B3C8F">
      <w:pPr>
        <w:pStyle w:val="Sansinterligne"/>
        <w:jc w:val="both"/>
      </w:pPr>
    </w:p>
    <w:p w:rsidR="009B3C8F" w:rsidRDefault="009B3C8F" w:rsidP="009B3C8F">
      <w:pPr>
        <w:pStyle w:val="Sansinterligne"/>
        <w:jc w:val="both"/>
      </w:pPr>
      <w:r>
        <w:rPr>
          <w:b/>
        </w:rPr>
        <w:t>Droits de l’homme</w:t>
      </w:r>
    </w:p>
    <w:p w:rsidR="009B3C8F" w:rsidRDefault="009B3C8F" w:rsidP="009B3C8F">
      <w:pPr>
        <w:pStyle w:val="Sansinterligne"/>
        <w:jc w:val="both"/>
      </w:pPr>
    </w:p>
    <w:p w:rsidR="009B3C8F" w:rsidRDefault="009B3C8F" w:rsidP="009B3C8F">
      <w:pPr>
        <w:pStyle w:val="Sansinterligne"/>
        <w:jc w:val="both"/>
      </w:pPr>
      <w:r>
        <w:t>La première Déclaration des droits de l’homme et du citoyen est votée par l’Assemblée nationale constituante le 26 août 1789, après la suppression de la féodalité. Elle est suivie des Déclarations de 1793 et de 1795.</w:t>
      </w:r>
    </w:p>
    <w:p w:rsidR="009B3C8F" w:rsidRPr="00466C74" w:rsidRDefault="009B3C8F" w:rsidP="009B3C8F">
      <w:pPr>
        <w:pStyle w:val="Sansinterligne"/>
        <w:jc w:val="both"/>
      </w:pPr>
    </w:p>
    <w:p w:rsidR="009B3C8F" w:rsidRDefault="009B3C8F" w:rsidP="009B3C8F">
      <w:pPr>
        <w:pStyle w:val="Sansinterligne"/>
        <w:jc w:val="both"/>
      </w:pPr>
      <w:r>
        <w:t>La pensée philosophique du XIXème siècle, héritée des Lumières du XVIIIème, met l’accent sur les droits politiques de l’homme : liberté d’expression, droit de libre association, suffrage universel, égalité devant la loi. Font partie de ces droits la liberté de culte et le libre exercice de la religion.</w:t>
      </w:r>
    </w:p>
    <w:p w:rsidR="009B3C8F" w:rsidRDefault="009B3C8F" w:rsidP="009B3C8F">
      <w:pPr>
        <w:pStyle w:val="Sansinterligne"/>
        <w:jc w:val="both"/>
      </w:pPr>
    </w:p>
    <w:p w:rsidR="009B3C8F" w:rsidRDefault="009B3C8F" w:rsidP="009B3C8F">
      <w:pPr>
        <w:pStyle w:val="Sansinterligne"/>
        <w:jc w:val="both"/>
      </w:pPr>
      <w:r>
        <w:t>Vers la fin du XIXème siècle, beaucoup se rendent compte que les droits politiques n’ont guère de valeur si on ne prend pas en compte les droits déterminés dans le domaine économique et social : le droit d’être traité comme personne et non comme une chose ; le droit de participer au bien-être général.</w:t>
      </w:r>
    </w:p>
    <w:p w:rsidR="009B3C8F" w:rsidRDefault="009B3C8F" w:rsidP="009B3C8F">
      <w:pPr>
        <w:pStyle w:val="Sansinterligne"/>
        <w:jc w:val="both"/>
      </w:pPr>
    </w:p>
    <w:p w:rsidR="009B3C8F" w:rsidRDefault="009B3C8F" w:rsidP="009B3C8F">
      <w:pPr>
        <w:pStyle w:val="Sansinterligne"/>
        <w:jc w:val="both"/>
      </w:pPr>
      <w:r>
        <w:rPr>
          <w:b/>
        </w:rPr>
        <w:t>Attitude de l’Eglise catholique</w:t>
      </w:r>
    </w:p>
    <w:p w:rsidR="009B3C8F" w:rsidRPr="00466C74" w:rsidRDefault="009B3C8F" w:rsidP="009B3C8F">
      <w:pPr>
        <w:pStyle w:val="Sansinterligne"/>
        <w:jc w:val="both"/>
      </w:pPr>
    </w:p>
    <w:p w:rsidR="009B3C8F" w:rsidRDefault="009B3C8F" w:rsidP="009B3C8F">
      <w:pPr>
        <w:pStyle w:val="Sansinterligne"/>
        <w:jc w:val="both"/>
      </w:pPr>
      <w:r>
        <w:t xml:space="preserve">Devant cette évolution de l’interprétation des droits de l’homme et du citoyen, l’Eglise catholique donne un enseignement qui, lui aussi, se transforme. Le Pape Grégoire XVI (1831-1846) et le Pape Pie IX (1846-1878) qualifient de délire l’opinion selon laquelle la liberté de conscience et la liberté des cultes sont un droit propre à chacun. Pie IX condamne les fondements du libéralisme philosophique qui promeut la liberté de conscience absolue. Il est </w:t>
      </w:r>
      <w:r>
        <w:lastRenderedPageBreak/>
        <w:t xml:space="preserve">célèbre par le </w:t>
      </w:r>
      <w:r>
        <w:rPr>
          <w:i/>
        </w:rPr>
        <w:t>Syllabus</w:t>
      </w:r>
      <w:r>
        <w:t xml:space="preserve"> (1864), une sorte de catalogue des erreurs modernes, qui accompagne l’encyclique </w:t>
      </w:r>
      <w:r>
        <w:rPr>
          <w:i/>
        </w:rPr>
        <w:t>Quanta cura</w:t>
      </w:r>
      <w:r>
        <w:t>.</w:t>
      </w:r>
    </w:p>
    <w:p w:rsidR="009B3C8F" w:rsidRDefault="009B3C8F" w:rsidP="009B3C8F">
      <w:pPr>
        <w:pStyle w:val="Sansinterligne"/>
        <w:jc w:val="both"/>
      </w:pPr>
    </w:p>
    <w:p w:rsidR="009B3C8F" w:rsidRDefault="009B3C8F" w:rsidP="009B3C8F">
      <w:pPr>
        <w:pStyle w:val="Sansinterligne"/>
        <w:jc w:val="both"/>
      </w:pPr>
      <w:r>
        <w:t xml:space="preserve">Le Pape Léon XIII (1878-1903) commence à défendre les droits sociaux et économiques de l’homme (encyclique </w:t>
      </w:r>
      <w:r>
        <w:rPr>
          <w:i/>
        </w:rPr>
        <w:t>Rerum novarum</w:t>
      </w:r>
      <w:r>
        <w:t>, 1891). De plus, il distingue deux sociétés, l’une temporelle, l’autre spirituelle et, par conséquent, deux ordres de loi et deux pouvoirs. L’Eglise est libre parce que son message transcende tout pouvoir politique. L’Evangile fait partie intégrante du bien commun, ce qui justifie la défense des concordats entre le Saint-Siège et les Etats. Plus encore, reprenant l’enseignement traditionnel de plusieurs siècles, les canonistes reconnaissent la distinction entre la thèse et l’hypothèse. La thèse représente l’idéal d’un Etat où le catholicisme est la religion honorée par celui-ci. L’hypothèse est le compromis où il faut vivre dans un Etat qui n’est pas catholique en vue d’éviter un mal plus grand ou d’obtenir un bien plus grand. Pour ceux qui ont étudié ces questions, très difficiles, il suffit de faire mémoire de la théorie des deux sociétés parfaites, l’Etat et l’Eglise. Chacune a tout ce qu’il faut pour ses membres. C’est la fin ultime qui diffère. Le Code de Droit canonique de 1917 représente bien cette manière de penser.</w:t>
      </w:r>
    </w:p>
    <w:p w:rsidR="009B3C8F" w:rsidRDefault="009B3C8F" w:rsidP="009B3C8F">
      <w:pPr>
        <w:pStyle w:val="Sansinterligne"/>
        <w:jc w:val="both"/>
      </w:pPr>
    </w:p>
    <w:p w:rsidR="009B3C8F" w:rsidRDefault="009B3C8F" w:rsidP="009B3C8F">
      <w:pPr>
        <w:pStyle w:val="Sansinterligne"/>
        <w:jc w:val="both"/>
      </w:pPr>
      <w:r>
        <w:rPr>
          <w:b/>
        </w:rPr>
        <w:t>Régimes totalitaires en Europe</w:t>
      </w:r>
    </w:p>
    <w:p w:rsidR="009B3C8F" w:rsidRPr="00E75998" w:rsidRDefault="009B3C8F" w:rsidP="009B3C8F">
      <w:pPr>
        <w:pStyle w:val="Sansinterligne"/>
        <w:jc w:val="both"/>
      </w:pPr>
    </w:p>
    <w:p w:rsidR="009B3C8F" w:rsidRDefault="009B3C8F" w:rsidP="009B3C8F">
      <w:pPr>
        <w:pStyle w:val="Sansinterligne"/>
        <w:jc w:val="both"/>
      </w:pPr>
      <w:r>
        <w:t>Après la guerre 1914-1918, l’Europe est engagée dans des totalitarismes nouveaux. Le communisme en Russie (1917), le fascisme en Italie (1925), en Allemagne (1933) et en Espagne (1938). L’enseignement de l’Eglise devient plus précis.</w:t>
      </w:r>
    </w:p>
    <w:p w:rsidR="009B3C8F" w:rsidRDefault="009B3C8F" w:rsidP="009B3C8F">
      <w:pPr>
        <w:pStyle w:val="Sansinterligne"/>
        <w:jc w:val="both"/>
      </w:pPr>
    </w:p>
    <w:p w:rsidR="009B3C8F" w:rsidRDefault="009B3C8F" w:rsidP="009B3C8F">
      <w:pPr>
        <w:pStyle w:val="Sansinterligne"/>
        <w:jc w:val="both"/>
      </w:pPr>
      <w:r>
        <w:t xml:space="preserve">Le Pape Pie XI (1922-1939) signe le concordat avec l’Italie de Mussolini (Accords du Latran en 1929), mais il condamne </w:t>
      </w:r>
      <w:r w:rsidRPr="00E75998">
        <w:rPr>
          <w:i/>
        </w:rPr>
        <w:t>l’</w:t>
      </w:r>
      <w:r>
        <w:rPr>
          <w:i/>
        </w:rPr>
        <w:t xml:space="preserve">Action </w:t>
      </w:r>
      <w:r w:rsidRPr="00E75998">
        <w:rPr>
          <w:i/>
        </w:rPr>
        <w:t>française</w:t>
      </w:r>
      <w:r>
        <w:t xml:space="preserve"> (1926), les excès du fascisme (1931), du nazisme (1937) et du communisme athée (1937). Il dénonce les erreurs philosophiques du fascisme, en accord avec son Secrétaire d’Etat Pacelli (1930-1939), ancien nonce à Munich et à Berlin (1917-1929). Pacelli avait collaboré, dès 1904, à la rédaction du Code de droit canonique de 1917. Devenu le Pape Pie XII (1939-1958), Pacelli publie un message radiodiffusé le 24 décembre 1944. Il donne un nouveau développement à la doctrine politique et sociale de l’Eglise : tout l’ensemble de l’ordre social est fondé sur la notion du citoyen qui devient conscient de sa propre personnalité, de ses devoirs et de ses droits, et en même temps de la liberté des autres.</w:t>
      </w:r>
    </w:p>
    <w:p w:rsidR="009B3C8F" w:rsidRDefault="009B3C8F" w:rsidP="009B3C8F">
      <w:pPr>
        <w:pStyle w:val="Sansinterligne"/>
        <w:jc w:val="both"/>
      </w:pPr>
    </w:p>
    <w:p w:rsidR="009B3C8F" w:rsidRDefault="009B3C8F" w:rsidP="009B3C8F">
      <w:pPr>
        <w:pStyle w:val="Sansinterligne"/>
        <w:jc w:val="both"/>
      </w:pPr>
      <w:r>
        <w:rPr>
          <w:b/>
        </w:rPr>
        <w:t>Déclaration universelle des droits de l’homme</w:t>
      </w:r>
    </w:p>
    <w:p w:rsidR="009B3C8F" w:rsidRPr="00863B81" w:rsidRDefault="009B3C8F" w:rsidP="009B3C8F">
      <w:pPr>
        <w:pStyle w:val="Sansinterligne"/>
        <w:jc w:val="both"/>
      </w:pPr>
    </w:p>
    <w:p w:rsidR="009B3C8F" w:rsidRDefault="009B3C8F" w:rsidP="009B3C8F">
      <w:pPr>
        <w:pStyle w:val="Sansinterligne"/>
        <w:jc w:val="both"/>
      </w:pPr>
      <w:r>
        <w:t xml:space="preserve">Grâce à Pie XII, l’Eglise catholique se joint au grand mouvement qui porte et inspire la </w:t>
      </w:r>
      <w:r>
        <w:rPr>
          <w:i/>
        </w:rPr>
        <w:t>Déclaration des Droits de l’Homme</w:t>
      </w:r>
      <w:r>
        <w:t xml:space="preserve"> votée à l’Organisation des Nations Unies, à New York, en 1948. Le fondement de ces droits est la dignité de la personne humaine et la liberté des consciences qu’elle suppose. La dignité de la personne humaine est inaliénable ; aucune idéologie ne peut y attenter.</w:t>
      </w:r>
    </w:p>
    <w:p w:rsidR="009B3C8F" w:rsidRDefault="009B3C8F" w:rsidP="009B3C8F">
      <w:pPr>
        <w:pStyle w:val="Sansinterligne"/>
        <w:jc w:val="both"/>
      </w:pPr>
    </w:p>
    <w:p w:rsidR="009B3C8F" w:rsidRDefault="009B3C8F" w:rsidP="009B3C8F">
      <w:pPr>
        <w:pStyle w:val="Sansinterligne"/>
        <w:jc w:val="both"/>
      </w:pPr>
      <w:r>
        <w:t xml:space="preserve">Le Pape Jean XXIII (1958-1963) fait un pas de plus par les encycliques </w:t>
      </w:r>
      <w:r>
        <w:rPr>
          <w:i/>
        </w:rPr>
        <w:t xml:space="preserve">Mater et </w:t>
      </w:r>
      <w:r w:rsidRPr="009173C3">
        <w:rPr>
          <w:i/>
        </w:rPr>
        <w:t>magistra</w:t>
      </w:r>
      <w:r>
        <w:t xml:space="preserve"> (1961) sur la question sociale et </w:t>
      </w:r>
      <w:r w:rsidRPr="00863B81">
        <w:rPr>
          <w:i/>
        </w:rPr>
        <w:t>Pacem</w:t>
      </w:r>
      <w:r>
        <w:rPr>
          <w:i/>
        </w:rPr>
        <w:t xml:space="preserve"> in terris </w:t>
      </w:r>
      <w:r>
        <w:t>(1963) sur l’avenir de la communauté internationale. S’appuyant sur l’enseignement de Pie XI et de Pie XII, qui dit que la dignité de la personne humaine est au fondement de la société et de l’Etat, Jean XXIII ajoute qu’aux valeurs traditionnelles de justice, de vérité et d’amour, déjà mentionnées par Léon XIII, il faut présupposer la liberté comme première exigence.</w:t>
      </w:r>
    </w:p>
    <w:p w:rsidR="009B3C8F" w:rsidRDefault="009B3C8F" w:rsidP="009B3C8F">
      <w:pPr>
        <w:pStyle w:val="Sansinterligne"/>
        <w:jc w:val="both"/>
      </w:pPr>
    </w:p>
    <w:p w:rsidR="009B3C8F" w:rsidRDefault="009B3C8F" w:rsidP="009B3C8F">
      <w:pPr>
        <w:pStyle w:val="Sansinterligne"/>
        <w:jc w:val="both"/>
      </w:pPr>
      <w:r>
        <w:lastRenderedPageBreak/>
        <w:t>Cette brève évocation historique montre que l’Eglise catholique a intégré, avant Vatican II, les libertés modernes : liberté de presse, d’expression, de culte ; le droit au suffrage universel ; le droit de libre association ; égalité devant la loi ; ainsi que les droits sociaux et économiques.</w:t>
      </w:r>
    </w:p>
    <w:p w:rsidR="009B3C8F" w:rsidRDefault="009B3C8F" w:rsidP="009B3C8F">
      <w:pPr>
        <w:pStyle w:val="Sansinterligne"/>
        <w:jc w:val="both"/>
      </w:pPr>
    </w:p>
    <w:p w:rsidR="009B3C8F" w:rsidRDefault="009B3C8F" w:rsidP="009B3C8F">
      <w:pPr>
        <w:pStyle w:val="Sansinterligne"/>
        <w:jc w:val="both"/>
      </w:pPr>
      <w:r>
        <w:rPr>
          <w:b/>
        </w:rPr>
        <w:t>Situation des catholiques dans le monde</w:t>
      </w:r>
    </w:p>
    <w:p w:rsidR="009B3C8F" w:rsidRPr="00863B81" w:rsidRDefault="009B3C8F" w:rsidP="009B3C8F">
      <w:pPr>
        <w:pStyle w:val="Sansinterligne"/>
        <w:jc w:val="both"/>
      </w:pPr>
    </w:p>
    <w:p w:rsidR="009B3C8F" w:rsidRDefault="009B3C8F" w:rsidP="009B3C8F">
      <w:pPr>
        <w:pStyle w:val="Sansinterligne"/>
        <w:jc w:val="both"/>
      </w:pPr>
      <w:r>
        <w:t xml:space="preserve">A l’ouverture du Concile, beaucoup de catholiques vivent derrière le rideau de fer en Europe, les Etats communistes d’Europe centrale et orientale. Un Etat communiste puissant en Asie persécute les catholiques, la Chine. </w:t>
      </w:r>
    </w:p>
    <w:p w:rsidR="009B3C8F" w:rsidRDefault="009B3C8F" w:rsidP="009B3C8F">
      <w:pPr>
        <w:pStyle w:val="Sansinterligne"/>
        <w:jc w:val="both"/>
      </w:pPr>
    </w:p>
    <w:p w:rsidR="009B3C8F" w:rsidRDefault="009B3C8F" w:rsidP="009B3C8F">
      <w:pPr>
        <w:pStyle w:val="Sansinterligne"/>
        <w:jc w:val="both"/>
      </w:pPr>
      <w:r>
        <w:t xml:space="preserve">La décolonisation touche à sa fin en Afrique et en Asie : l’Algérie est un Etat indépendant en 1962 ; le Vietnam commence une guerre de libération. Les Etats-Unis d’Amérique s’avancent lentement, et dans la douleur, vers l’octroi des droits civiques aux personnes issues des esclaves emmenés en Amérique à partir de l’Afrique. Dans ce cadre, la </w:t>
      </w:r>
      <w:r>
        <w:rPr>
          <w:i/>
        </w:rPr>
        <w:t>Déclaration des Droits de l’Homme</w:t>
      </w:r>
      <w:r>
        <w:t xml:space="preserve"> de 1948 est une lumière pour les acteurs politiques et les juristes. </w:t>
      </w:r>
    </w:p>
    <w:p w:rsidR="009B3C8F" w:rsidRDefault="009B3C8F" w:rsidP="009B3C8F">
      <w:pPr>
        <w:pStyle w:val="Sansinterligne"/>
        <w:jc w:val="both"/>
      </w:pPr>
    </w:p>
    <w:p w:rsidR="009B3C8F" w:rsidRDefault="009B3C8F" w:rsidP="009B3C8F">
      <w:pPr>
        <w:pStyle w:val="Sansinterligne"/>
        <w:jc w:val="both"/>
      </w:pPr>
      <w:r>
        <w:t>L’Eglise a, elle aussi, besoin d’un repère clair pour défendre le droit des catholiques persécutés par des régimes totalitaires. Certes, elle a un Code de Droit canonique qui est une des ressources de la diplomatie pontificale. Mais il manque un document qui reprenne le fondement du droit.</w:t>
      </w:r>
    </w:p>
    <w:p w:rsidR="009B3C8F" w:rsidRDefault="009B3C8F" w:rsidP="009B3C8F">
      <w:pPr>
        <w:pStyle w:val="Sansinterligne"/>
        <w:jc w:val="both"/>
      </w:pPr>
    </w:p>
    <w:p w:rsidR="009B3C8F" w:rsidRDefault="009B3C8F" w:rsidP="009B3C8F">
      <w:pPr>
        <w:pStyle w:val="Sansinterligne"/>
        <w:jc w:val="both"/>
      </w:pPr>
      <w:r>
        <w:t>A propos de la défense des catholiques persécutés, vient s’ajouter celle des chrétiens persécutés dans le monde, qu’ils soient orthodoxes (Union soviétique) ou protestants.</w:t>
      </w:r>
    </w:p>
    <w:p w:rsidR="009B3C8F" w:rsidRDefault="009B3C8F" w:rsidP="009B3C8F">
      <w:pPr>
        <w:pStyle w:val="Sansinterligne"/>
        <w:jc w:val="both"/>
      </w:pPr>
    </w:p>
    <w:p w:rsidR="009B3C8F" w:rsidRDefault="009B3C8F" w:rsidP="009B3C8F">
      <w:pPr>
        <w:pStyle w:val="Sansinterligne"/>
        <w:jc w:val="both"/>
      </w:pPr>
      <w:r>
        <w:rPr>
          <w:b/>
        </w:rPr>
        <w:t xml:space="preserve">Question doctrinale </w:t>
      </w:r>
    </w:p>
    <w:p w:rsidR="009B3C8F" w:rsidRPr="00AE1BB2" w:rsidRDefault="009B3C8F" w:rsidP="009B3C8F">
      <w:pPr>
        <w:pStyle w:val="Sansinterligne"/>
        <w:jc w:val="both"/>
      </w:pPr>
    </w:p>
    <w:p w:rsidR="009B3C8F" w:rsidRDefault="009B3C8F" w:rsidP="009B3C8F">
      <w:pPr>
        <w:pStyle w:val="Sansinterligne"/>
        <w:jc w:val="both"/>
      </w:pPr>
      <w:r>
        <w:t xml:space="preserve">Par ailleurs subsiste une question doctrinale. La liberté religieuse, dont parlent les déclarations des Etats, est une institution de la société civile. Quelle est la valeur de cette liberté dans la doctrine catholique de la vraie religion et de l’unique Eglise du Christ ? L’Eglise catholique a mandat divin de proclamer la vraie religion. Il est impensable que dans les rapports avec Dieu on parle de droits et de devoirs. Dieu adresse un appel à tout être humain. Cet appel fonde la plus haute dignité de l’homme. Celui-ci répond librement à cet appel, en suivant sa conscience, même si elle est éventuellement erronée. Le débat porte ici sur le fondement doctrinal de la liberté, dans l’Ecriture et la tradition de l’Eglise, bref dans la Parole de Dieu. </w:t>
      </w:r>
    </w:p>
    <w:p w:rsidR="009B3C8F" w:rsidRDefault="009B3C8F" w:rsidP="009B3C8F">
      <w:pPr>
        <w:pStyle w:val="Sansinterligne"/>
        <w:jc w:val="both"/>
      </w:pPr>
    </w:p>
    <w:p w:rsidR="009B3C8F" w:rsidRDefault="009B3C8F" w:rsidP="009B3C8F">
      <w:pPr>
        <w:pStyle w:val="Sansinterligne"/>
        <w:jc w:val="both"/>
      </w:pPr>
      <w:r>
        <w:t>Il s’agit d’une question importante. Comme l’Eglise reçoit la mission d’annoncer le Christ, le chemin, la vérité, la vie, elle ne cesse jamais de transmettre l’appel de Dieu à chaque conscience pour s’ouvrir à la vérité de la foi, à la recherche du bien dans la droiture, au service de Dieu et à la vie de grâce offerte par les sacrements. Que signifie, dans ce cas, la liberté de conscience ?</w:t>
      </w:r>
    </w:p>
    <w:p w:rsidR="009B3C8F" w:rsidRDefault="009B3C8F" w:rsidP="009B3C8F">
      <w:pPr>
        <w:pStyle w:val="Sansinterligne"/>
        <w:jc w:val="both"/>
      </w:pPr>
    </w:p>
    <w:p w:rsidR="009B3C8F" w:rsidRDefault="009B3C8F" w:rsidP="009B3C8F">
      <w:pPr>
        <w:pStyle w:val="Sansinterligne"/>
        <w:jc w:val="both"/>
      </w:pPr>
      <w:r>
        <w:t>La question est confiée au Secrétariat pour l’unité des chrétiens, présidé par le cardinal Bea (exégète allemand), assisté de Mgr Willebrands (oecuméniste néerlandais). Fin 1960, une sous-commission belgo-suisse établit un projet sur la liberté religieuse. Après l’ouverture du Concile (1962) et le premier vote (1963), ce sont Mgr Pavan (Italien), le Père John Courtney Murray (jésuite américain), le Père Jérôme Hamer (dominicain belge) et Mgr De Smedt (évêque de Bruges) qui vont rédiger les six autres versions du texte.</w:t>
      </w:r>
    </w:p>
    <w:p w:rsidR="009B3C8F" w:rsidRDefault="009B3C8F" w:rsidP="009B3C8F">
      <w:pPr>
        <w:pStyle w:val="Sansinterligne"/>
        <w:jc w:val="both"/>
      </w:pPr>
    </w:p>
    <w:p w:rsidR="009B3C8F" w:rsidRDefault="009B3C8F" w:rsidP="009B3C8F">
      <w:pPr>
        <w:pStyle w:val="Sansinterligne"/>
        <w:jc w:val="both"/>
      </w:pPr>
      <w:r>
        <w:rPr>
          <w:b/>
        </w:rPr>
        <w:t>Pourquoi s’intéresser si longuement à cette Déclaration conciliaire ?</w:t>
      </w:r>
    </w:p>
    <w:p w:rsidR="009B3C8F" w:rsidRDefault="009B3C8F" w:rsidP="009B3C8F">
      <w:pPr>
        <w:pStyle w:val="Sansinterligne"/>
        <w:jc w:val="both"/>
      </w:pPr>
    </w:p>
    <w:p w:rsidR="009B3C8F" w:rsidRDefault="009B3C8F" w:rsidP="009B3C8F">
      <w:pPr>
        <w:pStyle w:val="Sansinterligne"/>
        <w:jc w:val="both"/>
      </w:pPr>
      <w:r>
        <w:lastRenderedPageBreak/>
        <w:t xml:space="preserve">Parmi les justifications actuelles d’un statut quo dans l’annonce explicite de l’Evangile vient régulièrement la position qui veut respecter la liberté religieuse de tous ceux qui ne sont pas membres de l’Eglise catholique. Toute invitation à connaître le Christ ou tout essai de parler d’une loi divine en matière éthique sont repoussés, car ils expriment soit du </w:t>
      </w:r>
      <w:r>
        <w:rPr>
          <w:i/>
        </w:rPr>
        <w:t>prosélytisme</w:t>
      </w:r>
      <w:r>
        <w:t xml:space="preserve">, soit </w:t>
      </w:r>
      <w:r>
        <w:rPr>
          <w:i/>
        </w:rPr>
        <w:t>une violation de la conscience personnelle</w:t>
      </w:r>
      <w:r>
        <w:t xml:space="preserve">. Nous connaissons également tout ce qui est, par principe, raconté </w:t>
      </w:r>
      <w:r>
        <w:rPr>
          <w:i/>
        </w:rPr>
        <w:t>contre la nouvelle évangélisation</w:t>
      </w:r>
      <w:r>
        <w:t xml:space="preserve">, en mettant en avant le fait que chaque être humain a </w:t>
      </w:r>
      <w:r>
        <w:rPr>
          <w:i/>
        </w:rPr>
        <w:t>sa part de vérité</w:t>
      </w:r>
      <w:r>
        <w:t xml:space="preserve">. </w:t>
      </w:r>
    </w:p>
    <w:p w:rsidR="009B3C8F" w:rsidRDefault="009B3C8F" w:rsidP="009B3C8F">
      <w:pPr>
        <w:pStyle w:val="Sansinterligne"/>
        <w:jc w:val="both"/>
      </w:pPr>
    </w:p>
    <w:p w:rsidR="009B3C8F" w:rsidRDefault="009B3C8F" w:rsidP="009B3C8F">
      <w:pPr>
        <w:pStyle w:val="Sansinterligne"/>
        <w:jc w:val="both"/>
      </w:pPr>
      <w:r>
        <w:t xml:space="preserve">Nous verrons, le mois prochain, les implications de la Déclaration </w:t>
      </w:r>
      <w:r>
        <w:rPr>
          <w:i/>
        </w:rPr>
        <w:t>Dignitatis humanae</w:t>
      </w:r>
      <w:r>
        <w:t xml:space="preserve"> durant la période conciliaire, et par après.</w:t>
      </w:r>
    </w:p>
    <w:p w:rsidR="009B3C8F" w:rsidRDefault="009B3C8F" w:rsidP="009B3C8F">
      <w:pPr>
        <w:pStyle w:val="Sansinterligne"/>
        <w:jc w:val="both"/>
      </w:pPr>
    </w:p>
    <w:p w:rsidR="009B3C8F" w:rsidRDefault="009B3C8F" w:rsidP="009B3C8F">
      <w:pPr>
        <w:pStyle w:val="Sansinterligne"/>
        <w:jc w:val="both"/>
      </w:pPr>
      <w:r>
        <w:rPr>
          <w:b/>
        </w:rPr>
        <w:t>Vœux</w:t>
      </w:r>
    </w:p>
    <w:p w:rsidR="009B3C8F" w:rsidRPr="009173C3" w:rsidRDefault="009B3C8F" w:rsidP="009B3C8F">
      <w:pPr>
        <w:pStyle w:val="Sansinterligne"/>
        <w:jc w:val="both"/>
      </w:pPr>
    </w:p>
    <w:p w:rsidR="009B3C8F" w:rsidRDefault="009B3C8F" w:rsidP="009B3C8F">
      <w:pPr>
        <w:pStyle w:val="Sansinterligne"/>
        <w:jc w:val="both"/>
      </w:pPr>
      <w:r>
        <w:t xml:space="preserve">En ce début de janvier 2013, je vous présente tous mes vœux. Que chacun d’entre nous ait la joie d’accueillir le Seigneur qui aime tous les êtres humains. Suite à l’intervention chirurgicale du 3 octobre dernier, j’ai reçu des messages de sympathie et d’encouragement. Pour le moment, tout va bien et je me réjouis avec tous ceux qui me sont d’un précieux réconfort.  </w:t>
      </w:r>
    </w:p>
    <w:p w:rsidR="009B3C8F" w:rsidRDefault="009B3C8F" w:rsidP="009B3C8F">
      <w:pPr>
        <w:pStyle w:val="Sansinterligne"/>
        <w:jc w:val="both"/>
      </w:pPr>
      <w:r>
        <w:t xml:space="preserve"> </w:t>
      </w:r>
    </w:p>
    <w:p w:rsidR="00094CF9" w:rsidRDefault="00094CF9"/>
    <w:sectPr w:rsidR="00094CF9" w:rsidSect="001114D0">
      <w:headerReference w:type="even" r:id="rId4"/>
      <w:headerReference w:type="default" r:id="rId5"/>
      <w:footerReference w:type="even" r:id="rId6"/>
      <w:footerReference w:type="default" r:id="rId7"/>
      <w:headerReference w:type="first" r:id="rId8"/>
      <w:footerReference w:type="first" r:id="rId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C3" w:rsidRDefault="009B3C8F">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237985"/>
      <w:docPartObj>
        <w:docPartGallery w:val="Page Numbers (Bottom of Page)"/>
        <w:docPartUnique/>
      </w:docPartObj>
    </w:sdtPr>
    <w:sdtEndPr/>
    <w:sdtContent>
      <w:p w:rsidR="009173C3" w:rsidRDefault="009B3C8F">
        <w:pPr>
          <w:pStyle w:val="Pieddepage"/>
          <w:jc w:val="right"/>
        </w:pPr>
        <w:r>
          <w:fldChar w:fldCharType="begin"/>
        </w:r>
        <w:r>
          <w:instrText xml:space="preserve"> PAGE   \* MERGEFORMAT </w:instrText>
        </w:r>
        <w:r>
          <w:fldChar w:fldCharType="separate"/>
        </w:r>
        <w:r>
          <w:rPr>
            <w:noProof/>
          </w:rPr>
          <w:t>4</w:t>
        </w:r>
        <w:r>
          <w:fldChar w:fldCharType="end"/>
        </w:r>
      </w:p>
    </w:sdtContent>
  </w:sdt>
  <w:p w:rsidR="009173C3" w:rsidRDefault="009B3C8F">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C3" w:rsidRDefault="009B3C8F">
    <w:pPr>
      <w:pStyle w:val="Pieddepage"/>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C3" w:rsidRDefault="009B3C8F">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C3" w:rsidRDefault="009B3C8F">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C3" w:rsidRDefault="009B3C8F">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B3C8F"/>
    <w:rsid w:val="00094CF9"/>
    <w:rsid w:val="009B3C8F"/>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C8F"/>
    <w:rPr>
      <w:rFonts w:ascii="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9B3C8F"/>
    <w:pPr>
      <w:spacing w:after="0" w:line="240" w:lineRule="auto"/>
    </w:pPr>
    <w:rPr>
      <w:rFonts w:ascii="Times New Roman" w:hAnsi="Times New Roman" w:cs="Times New Roman"/>
      <w:sz w:val="24"/>
      <w:szCs w:val="24"/>
    </w:rPr>
  </w:style>
  <w:style w:type="paragraph" w:styleId="En-tte">
    <w:name w:val="header"/>
    <w:basedOn w:val="Normal"/>
    <w:link w:val="En-tteCar"/>
    <w:uiPriority w:val="99"/>
    <w:semiHidden/>
    <w:unhideWhenUsed/>
    <w:rsid w:val="009B3C8F"/>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B3C8F"/>
    <w:rPr>
      <w:rFonts w:ascii="Times New Roman" w:hAnsi="Times New Roman" w:cs="Times New Roman"/>
      <w:sz w:val="24"/>
      <w:szCs w:val="24"/>
    </w:rPr>
  </w:style>
  <w:style w:type="paragraph" w:styleId="Pieddepage">
    <w:name w:val="footer"/>
    <w:basedOn w:val="Normal"/>
    <w:link w:val="PieddepageCar"/>
    <w:uiPriority w:val="99"/>
    <w:unhideWhenUsed/>
    <w:rsid w:val="009B3C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3C8F"/>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1655</Words>
  <Characters>9107</Characters>
  <Application>Microsoft Office Word</Application>
  <DocSecurity>0</DocSecurity>
  <Lines>75</Lines>
  <Paragraphs>21</Paragraphs>
  <ScaleCrop>false</ScaleCrop>
  <Company/>
  <LinksUpToDate>false</LinksUpToDate>
  <CharactersWithSpaces>10741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2013-01-15T13:20:00Z</dcterms:created>
  <dcterms:modified xsi:type="dcterms:W3CDTF">2013-01-15T13:20:00Z</dcterms:modified>
</cp:coreProperties>
</file>